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IT Audit Factory</w:t>
      </w:r>
    </w:p>
    <w:p>
      <w:pPr>
        <w:pStyle w:val="Heading1"/>
      </w:pPr>
      <w:r>
        <w:t>Product documentation</w:t>
        <w:br/>
        <w:t>Version 4.1.0</w:t>
      </w:r>
    </w:p>
    <w:p>
      <w:r>
        <w:t>Free • Professional • MSP Server • MSP Client</w:t>
      </w:r>
    </w:p>
    <w:p>
      <w:r>
        <w:t>Current installation, access and operating guidance. All new product components share 4.1.0. Historical releases and agreement revisions retain their original identifiers.</w:t>
      </w:r>
    </w:p>
    <w:p>
      <w:pPr>
        <w:pStyle w:val="Heading2"/>
      </w:pPr>
      <w:r>
        <w:t>Choose the right component</w:t>
      </w:r>
    </w:p>
    <w:tbl>
      <w:tblPr>
        <w:tblStyle w:val="LightShading-Accent1"/>
        <w:tblW w:type="auto" w:w="0"/>
        <w:tblLook w:firstColumn="1" w:firstRow="1" w:lastColumn="0" w:lastRow="0" w:noHBand="0" w:noVBand="1" w:val="04A0"/>
      </w:tblPr>
      <w:tblGrid>
        <w:gridCol w:w="3360"/>
        <w:gridCol w:w="3360"/>
        <w:gridCol w:w="3360"/>
      </w:tblGrid>
      <w:tr>
        <w:tc>
          <w:tcPr>
            <w:tcW w:type="dxa" w:w="3360"/>
          </w:tcPr>
          <w:p>
            <w:r>
              <w:rPr>
                <w:sz w:val="19"/>
              </w:rPr>
              <w:t>Component</w:t>
            </w:r>
          </w:p>
        </w:tc>
        <w:tc>
          <w:tcPr>
            <w:tcW w:type="dxa" w:w="3360"/>
          </w:tcPr>
          <w:p>
            <w:r>
              <w:rPr>
                <w:sz w:val="19"/>
              </w:rPr>
              <w:t>Purpose</w:t>
            </w:r>
          </w:p>
        </w:tc>
        <w:tc>
          <w:tcPr>
            <w:tcW w:type="dxa" w:w="3360"/>
          </w:tcPr>
          <w:p>
            <w:r>
              <w:rPr>
                <w:sz w:val="19"/>
              </w:rPr>
              <w:t>Version</w:t>
            </w:r>
          </w:p>
        </w:tc>
      </w:tr>
      <w:tr>
        <w:tc>
          <w:tcPr>
            <w:tcW w:type="dxa" w:w="3360"/>
          </w:tcPr>
          <w:p>
            <w:r>
              <w:rPr>
                <w:sz w:val="19"/>
              </w:rPr>
              <w:t>Free</w:t>
            </w:r>
          </w:p>
        </w:tc>
        <w:tc>
          <w:tcPr>
            <w:tcW w:type="dxa" w:w="3360"/>
          </w:tcPr>
          <w:p>
            <w:r>
              <w:rPr>
                <w:sz w:val="19"/>
              </w:rPr>
              <w:t>One administrator and one domain.</w:t>
            </w:r>
          </w:p>
        </w:tc>
        <w:tc>
          <w:tcPr>
            <w:tcW w:type="dxa" w:w="3360"/>
          </w:tcPr>
          <w:p>
            <w:r>
              <w:rPr>
                <w:sz w:val="19"/>
              </w:rPr>
              <w:t>4.1.0</w:t>
            </w:r>
          </w:p>
        </w:tc>
      </w:tr>
      <w:tr>
        <w:tc>
          <w:tcPr>
            <w:tcW w:type="dxa" w:w="3360"/>
          </w:tcPr>
          <w:p>
            <w:r>
              <w:rPr>
                <w:sz w:val="19"/>
              </w:rPr>
              <w:t>Professional</w:t>
            </w:r>
          </w:p>
        </w:tc>
        <w:tc>
          <w:tcPr>
            <w:tcW w:type="dxa" w:w="3360"/>
          </w:tcPr>
          <w:p>
            <w:r>
              <w:rPr>
                <w:sz w:val="19"/>
              </w:rPr>
              <w:t>Stand-alone assessment workstation.</w:t>
            </w:r>
          </w:p>
        </w:tc>
        <w:tc>
          <w:tcPr>
            <w:tcW w:type="dxa" w:w="3360"/>
          </w:tcPr>
          <w:p>
            <w:r>
              <w:rPr>
                <w:sz w:val="19"/>
              </w:rPr>
              <w:t>4.1.0</w:t>
            </w:r>
          </w:p>
        </w:tc>
      </w:tr>
      <w:tr>
        <w:tc>
          <w:tcPr>
            <w:tcW w:type="dxa" w:w="3360"/>
          </w:tcPr>
          <w:p>
            <w:r>
              <w:rPr>
                <w:sz w:val="19"/>
              </w:rPr>
              <w:t>MSP Server</w:t>
            </w:r>
          </w:p>
        </w:tc>
        <w:tc>
          <w:tcPr>
            <w:tcW w:type="dxa" w:w="3360"/>
          </w:tcPr>
          <w:p>
            <w:r>
              <w:rPr>
                <w:sz w:val="19"/>
              </w:rPr>
              <w:t>Central multi-client services and shared data.</w:t>
            </w:r>
          </w:p>
        </w:tc>
        <w:tc>
          <w:tcPr>
            <w:tcW w:type="dxa" w:w="3360"/>
          </w:tcPr>
          <w:p>
            <w:r>
              <w:rPr>
                <w:sz w:val="19"/>
              </w:rPr>
              <w:t>4.1.0</w:t>
            </w:r>
          </w:p>
        </w:tc>
      </w:tr>
      <w:tr>
        <w:tc>
          <w:tcPr>
            <w:tcW w:type="dxa" w:w="3360"/>
          </w:tcPr>
          <w:p>
            <w:r>
              <w:rPr>
                <w:sz w:val="19"/>
              </w:rPr>
              <w:t>MSP Client</w:t>
            </w:r>
          </w:p>
        </w:tc>
        <w:tc>
          <w:tcPr>
            <w:tcW w:type="dxa" w:w="3360"/>
          </w:tcPr>
          <w:p>
            <w:r>
              <w:rPr>
                <w:sz w:val="19"/>
              </w:rPr>
              <w:t>Assessor workstation connected to the MSP Server.</w:t>
            </w:r>
          </w:p>
        </w:tc>
        <w:tc>
          <w:tcPr>
            <w:tcW w:type="dxa" w:w="3360"/>
          </w:tcPr>
          <w:p>
            <w:r>
              <w:rPr>
                <w:sz w:val="19"/>
              </w:rPr>
              <w:t>4.1.0</w:t>
            </w:r>
          </w:p>
        </w:tc>
      </w:tr>
    </w:tbl>
    <w:p>
      <w:pPr>
        <w:pStyle w:val="Heading2"/>
      </w:pPr>
      <w:r>
        <w:t>Package availability</w:t>
      </w:r>
    </w:p>
    <w:p>
      <w:r>
        <w:t>Installers are supplied through private beta invitations after the applicable approval and signed-agreement checks. A website version label is not evidence that an installer has been built or published. Available packages identify their actual size, SHA-256, platform, architecture and release notes.</w:t>
      </w:r>
    </w:p>
    <w:p>
      <w:pPr>
        <w:pStyle w:val="Heading2"/>
      </w:pPr>
      <w:r>
        <w:t>Approved beta access</w:t>
      </w:r>
    </w:p>
    <w:p>
      <w:r>
        <w:t>Apply with a company email and verify the address. After approval, sign the Beta Evaluation and Confidentiality Agreement and return it to Sales@ITAuditFactory.com. Sales verifies receipt. Support then provides the approved installer invitation when that package is available.</w:t>
      </w:r>
    </w:p>
    <w:p>
      <w:r>
        <w:t>Keep your random request reference. You do not need to disclose an applicant number, password or private signing key.</w:t>
      </w:r>
    </w:p>
    <w:p>
      <w:r>
        <w:br w:type="page"/>
      </w:r>
    </w:p>
    <w:p>
      <w:pPr>
        <w:pStyle w:val="Heading1"/>
      </w:pPr>
      <w:r>
        <w:t>Download and install</w:t>
      </w:r>
    </w:p>
    <w:p>
      <w:pPr>
        <w:pStyle w:val="Heading2"/>
      </w:pPr>
      <w:r>
        <w:t>1. Open the private invitation</w:t>
      </w:r>
    </w:p>
    <w:p>
      <w:r>
        <w:t>Open the link supplied by Support and select Open my download. The page does not start a transfer automatically. The invitation is valid for 48 hours and allows three download starts. It is a private bearer credential: do not forward it. A replacement invitation invalidates the earlier link for the same package.</w:t>
      </w:r>
    </w:p>
    <w:p>
      <w:pPr>
        <w:pStyle w:val="Heading2"/>
      </w:pPr>
      <w:r>
        <w:t>2. Verify the package</w:t>
      </w:r>
    </w:p>
    <w:p>
      <w:r>
        <w:t>Check the component, operating system and architecture. The current filename ends with version 4.1.0 and the real package extension. Compare SHA-256 before execution, and verify the publisher signature using the operating system tools.</w:t>
      </w:r>
    </w:p>
    <w:p>
      <w:r>
        <w:t>Example: ITAF-MSP-Server-Windows-x64-4.1.0.exe</w:t>
      </w:r>
    </w:p>
    <w:p>
      <w:r>
        <w:t>PowerShell: Get-FileHash .\ITAF-MSP-Server-Windows-x64-4.1.0.exe -Algorithm SHA256</w:t>
      </w:r>
    </w:p>
    <w:p>
      <w:pPr>
        <w:pStyle w:val="Heading2"/>
      </w:pPr>
      <w:r>
        <w:t>3. Install on the intended host</w:t>
      </w:r>
    </w:p>
    <w:p>
      <w:r>
        <w:t>Back up the existing application data, evidence, settings and protected keys before upgrading. Retain installation logs. Run only the approved package and confirm that the installed application reports 4.1.0. Renaming an older file does not change its embedded version.</w:t>
      </w:r>
    </w:p>
    <w:p>
      <w:pPr>
        <w:pStyle w:val="Heading2"/>
      </w:pPr>
      <w:r>
        <w:t>4. Request activation when required</w:t>
      </w:r>
    </w:p>
    <w:p>
      <w:r>
        <w:t>Professional: open Configuration → Licensing on the workstation and copy the full Installation ID.</w:t>
      </w:r>
    </w:p>
    <w:p>
      <w:r>
        <w:t>MSP Server: open IT Audit Factory Server Administration → Licensing on the installed server and choose Copy Installation ID. Send the server identifier, not a client/workstation identifier.</w:t>
      </w:r>
    </w:p>
    <w:p>
      <w:r>
        <w:t>Email the ID, request reference, product and version to Support@ITAuditFactory.com. Support provides the installation-bound key after agreement and ID verification. Do not move or reinstall the licensed host without checking with Support. The Free-only beta workflow does not request an Installation ID.</w:t>
      </w:r>
    </w:p>
    <w:p>
      <w:r>
        <w:br w:type="page"/>
      </w:r>
    </w:p>
    <w:p>
      <w:pPr>
        <w:pStyle w:val="Heading1"/>
      </w:pPr>
      <w:r>
        <w:t>Operate within the approved scope</w:t>
      </w:r>
    </w:p>
    <w:p>
      <w:pPr>
        <w:pStyle w:val="Heading2"/>
      </w:pPr>
      <w:r>
        <w:t>Prepare a small pilot</w:t>
      </w:r>
    </w:p>
    <w:p>
      <w:r>
        <w:t>Create the client and program context, define authorized targets and exclusions, and configure only required credentials and modules. Check dependencies and connection diagnostics. Run a small known assessment before wider collection. Missing, denied or failed collection is not a passing control.</w:t>
      </w:r>
    </w:p>
    <w:p>
      <w:pPr>
        <w:pStyle w:val="Heading2"/>
      </w:pPr>
      <w:r>
        <w:t>Evidence and governance</w:t>
      </w:r>
    </w:p>
    <w:p>
      <w:r>
        <w:t>Keep findings connected to their supporting records, command evidence and artifacts. Human reviewers remain responsible for governance conclusions and final approval. A technical PASS alone does not establish conformity with an entire framework requirement.</w:t>
      </w:r>
    </w:p>
    <w:p>
      <w:pPr>
        <w:pStyle w:val="Heading2"/>
      </w:pPr>
      <w:r>
        <w:t>Framework coverage</w:t>
      </w:r>
    </w:p>
    <w:p>
      <w:r>
        <w:t>The website distinguishes exact technical mappings, broader supporting scope and manual evidence requirements. Mapping counts are not counts of independently validated automated controls. The current catalog reference preserves historical mappings and does not imply a fresh runtime validation or identical coverage in every edition.</w:t>
      </w:r>
    </w:p>
    <w:p>
      <w:pPr>
        <w:pStyle w:val="Heading2"/>
      </w:pPr>
      <w:r>
        <w:t>Reporting</w:t>
      </w:r>
    </w:p>
    <w:p>
      <w:r>
        <w:t>Use the reporting functions available in the installed edition. Executive HTML charts and numerical/text-bar DOCX/PDF summaries are different outputs; verify totals and included evidence before distribution. Snapshot views should not be interpreted as historical trend series.</w:t>
      </w:r>
    </w:p>
    <w:p>
      <w:pPr>
        <w:pStyle w:val="Heading2"/>
      </w:pPr>
      <w:r>
        <w:t>Upgrade and recovery</w:t>
      </w:r>
    </w:p>
    <w:p>
      <w:r>
        <w:t>Keep a matched recovery set for the software, database where applicable, evidence and protected keys. Do not reinitialize a populated database or replace unrelated database services to bypass an upgrade error. Retain the previous release identity in historical records.</w:t>
      </w:r>
    </w:p>
    <w:p>
      <w:pPr>
        <w:pStyle w:val="Heading2"/>
      </w:pPr>
      <w:r>
        <w:t>Contact</w:t>
      </w:r>
    </w:p>
    <w:p>
      <w:r>
        <w:t>Sales@ITAuditFactory.com — beta agreements and commercial questions.</w:t>
        <w:br/>
        <w:t>Support@ITAuditFactory.com — installation, activation, access and sanitized diagnostics.</w:t>
      </w:r>
    </w:p>
    <w:p>
      <w:r>
        <w:br w:type="page"/>
      </w:r>
    </w:p>
    <w:p>
      <w:pPr>
        <w:pStyle w:val="Heading1"/>
      </w:pPr>
      <w:r>
        <w:t>Access and troubleshooting</w:t>
      </w:r>
    </w:p>
    <w:tbl>
      <w:tblPr>
        <w:tblStyle w:val="LightShading-Accent1"/>
        <w:tblW w:type="auto" w:w="0"/>
        <w:tblLook w:firstColumn="1" w:firstRow="1" w:lastColumn="0" w:lastRow="0" w:noHBand="0" w:noVBand="1" w:val="04A0"/>
      </w:tblPr>
      <w:tblGrid>
        <w:gridCol w:w="5040"/>
        <w:gridCol w:w="5040"/>
      </w:tblGrid>
      <w:tr>
        <w:tc>
          <w:tcPr>
            <w:tcW w:type="dxa" w:w="5040"/>
          </w:tcPr>
          <w:p>
            <w:r>
              <w:rPr>
                <w:sz w:val="19"/>
              </w:rPr>
              <w:t>Situation</w:t>
            </w:r>
          </w:p>
        </w:tc>
        <w:tc>
          <w:tcPr>
            <w:tcW w:type="dxa" w:w="5040"/>
          </w:tcPr>
          <w:p>
            <w:r>
              <w:rPr>
                <w:sz w:val="19"/>
              </w:rPr>
              <w:t>Action</w:t>
            </w:r>
          </w:p>
        </w:tc>
      </w:tr>
      <w:tr>
        <w:tc>
          <w:tcPr>
            <w:tcW w:type="dxa" w:w="5040"/>
          </w:tcPr>
          <w:p>
            <w:r>
              <w:rPr>
                <w:sz w:val="19"/>
              </w:rPr>
              <w:t>No private invitation</w:t>
            </w:r>
          </w:p>
        </w:tc>
        <w:tc>
          <w:tcPr>
            <w:tcW w:type="dxa" w:w="5040"/>
          </w:tcPr>
          <w:p>
            <w:r>
              <w:rPr>
                <w:sz w:val="19"/>
              </w:rPr>
              <w:t>Confirm approval and signed-agreement receipt with Sales. Installer availability also requires publication.</w:t>
            </w:r>
          </w:p>
        </w:tc>
      </w:tr>
      <w:tr>
        <w:tc>
          <w:tcPr>
            <w:tcW w:type="dxa" w:w="5040"/>
          </w:tcPr>
          <w:p>
            <w:r>
              <w:rPr>
                <w:sz w:val="19"/>
              </w:rPr>
              <w:t>Link expired or used</w:t>
            </w:r>
          </w:p>
        </w:tc>
        <w:tc>
          <w:tcPr>
            <w:tcW w:type="dxa" w:w="5040"/>
          </w:tcPr>
          <w:p>
            <w:r>
              <w:rPr>
                <w:sz w:val="19"/>
              </w:rPr>
              <w:t>Ask Support to reissue access; the older invitation will stop working.</w:t>
            </w:r>
          </w:p>
        </w:tc>
      </w:tr>
      <w:tr>
        <w:tc>
          <w:tcPr>
            <w:tcW w:type="dxa" w:w="5040"/>
          </w:tcPr>
          <w:p>
            <w:r>
              <w:rPr>
                <w:sz w:val="19"/>
              </w:rPr>
              <w:t>Wrong component or platform</w:t>
            </w:r>
          </w:p>
        </w:tc>
        <w:tc>
          <w:tcPr>
            <w:tcW w:type="dxa" w:w="5040"/>
          </w:tcPr>
          <w:p>
            <w:r>
              <w:rPr>
                <w:sz w:val="19"/>
              </w:rPr>
              <w:t>Do not install it. Provide the request reference and correct platform to Support.</w:t>
            </w:r>
          </w:p>
        </w:tc>
      </w:tr>
      <w:tr>
        <w:tc>
          <w:tcPr>
            <w:tcW w:type="dxa" w:w="5040"/>
          </w:tcPr>
          <w:p>
            <w:r>
              <w:rPr>
                <w:sz w:val="19"/>
              </w:rPr>
              <w:t>Hash or publisher mismatch</w:t>
            </w:r>
          </w:p>
        </w:tc>
        <w:tc>
          <w:tcPr>
            <w:tcW w:type="dxa" w:w="5040"/>
          </w:tcPr>
          <w:p>
            <w:r>
              <w:rPr>
                <w:sz w:val="19"/>
              </w:rPr>
              <w:t>Do not run the file. Retain the filename/hash and contact Support.</w:t>
            </w:r>
          </w:p>
        </w:tc>
      </w:tr>
      <w:tr>
        <w:tc>
          <w:tcPr>
            <w:tcW w:type="dxa" w:w="5040"/>
          </w:tcPr>
          <w:p>
            <w:r>
              <w:rPr>
                <w:sz w:val="19"/>
              </w:rPr>
              <w:t>Installed version differs</w:t>
            </w:r>
          </w:p>
        </w:tc>
        <w:tc>
          <w:tcPr>
            <w:tcW w:type="dxa" w:w="5040"/>
          </w:tcPr>
          <w:p>
            <w:r>
              <w:rPr>
                <w:sz w:val="19"/>
              </w:rPr>
              <w:t>Stop. Request the correct 4.1.0 package rather than renaming a historical installer.</w:t>
            </w:r>
          </w:p>
        </w:tc>
      </w:tr>
      <w:tr>
        <w:tc>
          <w:tcPr>
            <w:tcW w:type="dxa" w:w="5040"/>
          </w:tcPr>
          <w:p>
            <w:r>
              <w:rPr>
                <w:sz w:val="19"/>
              </w:rPr>
              <w:t>Download interrupted</w:t>
            </w:r>
          </w:p>
        </w:tc>
        <w:tc>
          <w:tcPr>
            <w:tcW w:type="dxa" w:w="5040"/>
          </w:tcPr>
          <w:p>
            <w:r>
              <w:rPr>
                <w:sz w:val="19"/>
              </w:rPr>
              <w:t>Check the browser download state; request a replacement after the permitted starts are used.</w:t>
            </w:r>
          </w:p>
        </w:tc>
      </w:tr>
      <w:tr>
        <w:tc>
          <w:tcPr>
            <w:tcW w:type="dxa" w:w="5040"/>
          </w:tcPr>
          <w:p>
            <w:r>
              <w:rPr>
                <w:sz w:val="19"/>
              </w:rPr>
              <w:t>Key not yet provided</w:t>
            </w:r>
          </w:p>
        </w:tc>
        <w:tc>
          <w:tcPr>
            <w:tcW w:type="dxa" w:w="5040"/>
          </w:tcPr>
          <w:p>
            <w:r>
              <w:rPr>
                <w:sz w:val="19"/>
              </w:rPr>
              <w:t>Return the correct Installation ID after installing and confirm the signed agreement is verified.</w:t>
            </w:r>
          </w:p>
        </w:tc>
      </w:tr>
      <w:tr>
        <w:tc>
          <w:tcPr>
            <w:tcW w:type="dxa" w:w="5040"/>
          </w:tcPr>
          <w:p>
            <w:r>
              <w:rPr>
                <w:sz w:val="19"/>
              </w:rPr>
              <w:t>Application cannot start</w:t>
            </w:r>
          </w:p>
        </w:tc>
        <w:tc>
          <w:tcPr>
            <w:tcW w:type="dxa" w:w="5040"/>
          </w:tcPr>
          <w:p>
            <w:r>
              <w:rPr>
                <w:sz w:val="19"/>
              </w:rPr>
              <w:t>Retain logs, describe the failed operation and send sanitized diagnostics. Do not email secrets.</w:t>
            </w:r>
          </w:p>
        </w:tc>
      </w:tr>
    </w:tbl>
    <w:p>
      <w:pPr>
        <w:pStyle w:val="Heading2"/>
      </w:pPr>
      <w:r>
        <w:t>Privacy and access boundaries</w:t>
      </w:r>
    </w:p>
    <w:p>
      <w:r>
        <w:t>Installer files are kept in private encrypted storage. Download invitations are restricted to the approved request and component and are checked for active approval and agreement status at use. Deletion, revocation, expiry or package withdrawal prevents further authorized starts. Previously downloaded files cannot be remotely erased by the website.</w:t>
      </w:r>
    </w:p>
    <w:p>
      <w:r>
        <w:t>The site records release review and download-start events. A transfer-start record is not proof that the entire file reached the device. Likewise, acceptance by the mail service is not proof of inbox delivery.</w:t>
      </w:r>
    </w:p>
    <w:p>
      <w:pPr>
        <w:pStyle w:val="Heading2"/>
      </w:pPr>
      <w:r>
        <w:t>Current and historical guides</w:t>
      </w:r>
    </w:p>
    <w:p>
      <w:r>
        <w:t>Use the current 4.1.0 documentation library for new deployments. Previous-version guides remain separately labeled as archived records; they are not silently rewritten as new releases.</w:t>
      </w:r>
    </w:p>
    <w:p>
      <w:r>
        <w:br w:type="page"/>
      </w:r>
    </w:p>
    <w:p>
      <w:pPr>
        <w:pStyle w:val="Heading1"/>
      </w:pPr>
      <w:r>
        <w:t>Guide directory</w:t>
      </w:r>
    </w:p>
    <w:p>
      <w:r>
        <w:t>Open Support → Documentation on the website for the complete searchable library. Every current guide uses 4.1.0.</w:t>
      </w:r>
    </w:p>
    <w:p>
      <w:pPr>
        <w:spacing w:after="100"/>
      </w:pPr>
      <w:r>
        <w:rPr>
          <w:b/>
          <w:sz w:val="19"/>
        </w:rPr>
        <w:t>Install the MSP server and Windows client</w:t>
      </w:r>
      <w:r>
        <w:rPr>
          <w:sz w:val="19"/>
        </w:rPr>
        <w:t xml:space="preserve"> — MSP</w:t>
      </w:r>
    </w:p>
    <w:p>
      <w:pPr>
        <w:spacing w:after="100"/>
      </w:pPr>
      <w:r>
        <w:rPr>
          <w:b/>
          <w:sz w:val="19"/>
        </w:rPr>
        <w:t>Configure clients, programs and collectors</w:t>
      </w:r>
      <w:r>
        <w:rPr>
          <w:sz w:val="19"/>
        </w:rPr>
        <w:t xml:space="preserve"> — MSP</w:t>
      </w:r>
    </w:p>
    <w:p>
      <w:pPr>
        <w:spacing w:after="100"/>
      </w:pPr>
      <w:r>
        <w:rPr>
          <w:b/>
          <w:sz w:val="19"/>
        </w:rPr>
        <w:t>Activate and verify Secure Communication</w:t>
      </w:r>
      <w:r>
        <w:rPr>
          <w:sz w:val="19"/>
        </w:rPr>
        <w:t xml:space="preserve"> — MSP</w:t>
      </w:r>
    </w:p>
    <w:p>
      <w:pPr>
        <w:spacing w:after="100"/>
      </w:pPr>
      <w:r>
        <w:rPr>
          <w:b/>
          <w:sz w:val="19"/>
        </w:rPr>
        <w:t>Find the MSP server Installation ID</w:t>
      </w:r>
      <w:r>
        <w:rPr>
          <w:sz w:val="19"/>
        </w:rPr>
        <w:t xml:space="preserve"> — MSP</w:t>
      </w:r>
    </w:p>
    <w:p>
      <w:pPr>
        <w:spacing w:after="100"/>
      </w:pPr>
      <w:r>
        <w:rPr>
          <w:b/>
          <w:sz w:val="19"/>
        </w:rPr>
        <w:t>Upgrade, back up and recover the MSP platform</w:t>
      </w:r>
      <w:r>
        <w:rPr>
          <w:sz w:val="19"/>
        </w:rPr>
        <w:t xml:space="preserve"> — MSP</w:t>
      </w:r>
    </w:p>
    <w:p>
      <w:pPr>
        <w:spacing w:after="100"/>
      </w:pPr>
      <w:r>
        <w:rPr>
          <w:b/>
          <w:sz w:val="19"/>
        </w:rPr>
        <w:t>Troubleshoot MSP installation and assessments</w:t>
      </w:r>
      <w:r>
        <w:rPr>
          <w:sz w:val="19"/>
        </w:rPr>
        <w:t xml:space="preserve"> — MSP</w:t>
      </w:r>
    </w:p>
    <w:p>
      <w:pPr>
        <w:spacing w:after="100"/>
      </w:pPr>
      <w:r>
        <w:rPr>
          <w:b/>
          <w:sz w:val="19"/>
        </w:rPr>
        <w:t>installation reference</w:t>
      </w:r>
      <w:r>
        <w:rPr>
          <w:sz w:val="19"/>
        </w:rPr>
        <w:t xml:space="preserve"> — MSP</w:t>
      </w:r>
    </w:p>
    <w:p>
      <w:pPr>
        <w:spacing w:after="100"/>
      </w:pPr>
      <w:r>
        <w:rPr>
          <w:b/>
          <w:sz w:val="19"/>
        </w:rPr>
        <w:t>Collector configuration reference</w:t>
      </w:r>
      <w:r>
        <w:rPr>
          <w:sz w:val="19"/>
        </w:rPr>
        <w:t xml:space="preserve"> — MSP</w:t>
      </w:r>
    </w:p>
    <w:p>
      <w:pPr>
        <w:spacing w:after="100"/>
      </w:pPr>
      <w:r>
        <w:rPr>
          <w:b/>
          <w:sz w:val="19"/>
        </w:rPr>
        <w:t>Collector troubleshooting reference</w:t>
      </w:r>
      <w:r>
        <w:rPr>
          <w:sz w:val="19"/>
        </w:rPr>
        <w:t xml:space="preserve"> — MSP</w:t>
      </w:r>
    </w:p>
    <w:p>
      <w:pPr>
        <w:spacing w:after="100"/>
      </w:pPr>
      <w:r>
        <w:rPr>
          <w:b/>
          <w:sz w:val="19"/>
        </w:rPr>
        <w:t>Application user guide</w:t>
      </w:r>
      <w:r>
        <w:rPr>
          <w:sz w:val="19"/>
        </w:rPr>
        <w:t xml:space="preserve"> — MSP</w:t>
      </w:r>
    </w:p>
    <w:p>
      <w:pPr>
        <w:spacing w:after="100"/>
      </w:pPr>
      <w:r>
        <w:rPr>
          <w:b/>
          <w:sz w:val="19"/>
        </w:rPr>
        <w:t>Guided audit walkthrough</w:t>
      </w:r>
      <w:r>
        <w:rPr>
          <w:sz w:val="19"/>
        </w:rPr>
        <w:t xml:space="preserve"> — MSP</w:t>
      </w:r>
    </w:p>
    <w:p>
      <w:pPr>
        <w:spacing w:after="100"/>
      </w:pPr>
      <w:r>
        <w:rPr>
          <w:b/>
          <w:sz w:val="19"/>
        </w:rPr>
        <w:t>Governance &amp; ISMS</w:t>
      </w:r>
      <w:r>
        <w:rPr>
          <w:sz w:val="19"/>
        </w:rPr>
        <w:t xml:space="preserve"> — MSP</w:t>
      </w:r>
    </w:p>
    <w:p>
      <w:pPr>
        <w:spacing w:after="100"/>
      </w:pPr>
      <w:r>
        <w:rPr>
          <w:b/>
          <w:sz w:val="19"/>
        </w:rPr>
        <w:t>Network device configuration</w:t>
      </w:r>
      <w:r>
        <w:rPr>
          <w:sz w:val="19"/>
        </w:rPr>
        <w:t xml:space="preserve"> — MSP</w:t>
      </w:r>
    </w:p>
    <w:p>
      <w:pPr>
        <w:spacing w:after="100"/>
      </w:pPr>
      <w:r>
        <w:rPr>
          <w:b/>
          <w:sz w:val="19"/>
        </w:rPr>
        <w:t>Backup evidence configuration</w:t>
      </w:r>
      <w:r>
        <w:rPr>
          <w:sz w:val="19"/>
        </w:rPr>
        <w:t xml:space="preserve"> — MSP</w:t>
      </w:r>
    </w:p>
    <w:p>
      <w:pPr>
        <w:spacing w:after="100"/>
      </w:pPr>
      <w:r>
        <w:rPr>
          <w:b/>
          <w:sz w:val="19"/>
        </w:rPr>
        <w:t>Storage and TrueNAS</w:t>
      </w:r>
      <w:r>
        <w:rPr>
          <w:sz w:val="19"/>
        </w:rPr>
        <w:t xml:space="preserve"> — MSP</w:t>
      </w:r>
    </w:p>
    <w:p>
      <w:pPr>
        <w:spacing w:after="100"/>
      </w:pPr>
      <w:r>
        <w:rPr>
          <w:b/>
          <w:sz w:val="19"/>
        </w:rPr>
        <w:t>Auditor export and evidence</w:t>
      </w:r>
      <w:r>
        <w:rPr>
          <w:sz w:val="19"/>
        </w:rPr>
        <w:t xml:space="preserve"> — MSP</w:t>
      </w:r>
    </w:p>
    <w:p>
      <w:pPr>
        <w:spacing w:after="100"/>
      </w:pPr>
      <w:r>
        <w:rPr>
          <w:b/>
          <w:sz w:val="19"/>
        </w:rPr>
        <w:t>Reports and offline auditor portal</w:t>
      </w:r>
      <w:r>
        <w:rPr>
          <w:sz w:val="19"/>
        </w:rPr>
        <w:t xml:space="preserve"> — MSP</w:t>
      </w:r>
    </w:p>
    <w:p>
      <w:pPr>
        <w:spacing w:after="100"/>
      </w:pPr>
      <w:r>
        <w:rPr>
          <w:b/>
          <w:sz w:val="19"/>
        </w:rPr>
        <w:t>Prepare for auditor review</w:t>
      </w:r>
      <w:r>
        <w:rPr>
          <w:sz w:val="19"/>
        </w:rPr>
        <w:t xml:space="preserve"> — MSP</w:t>
      </w:r>
    </w:p>
    <w:p>
      <w:pPr>
        <w:spacing w:after="100"/>
      </w:pPr>
      <w:r>
        <w:rPr>
          <w:b/>
          <w:sz w:val="19"/>
        </w:rPr>
        <w:t>Support Center diagnostics</w:t>
      </w:r>
      <w:r>
        <w:rPr>
          <w:sz w:val="19"/>
        </w:rPr>
        <w:t xml:space="preserve"> — MSP</w:t>
      </w:r>
    </w:p>
    <w:p>
      <w:pPr>
        <w:spacing w:after="100"/>
      </w:pPr>
      <w:r>
        <w:rPr>
          <w:b/>
          <w:sz w:val="19"/>
        </w:rPr>
        <w:t>Private evidence and security</w:t>
      </w:r>
      <w:r>
        <w:rPr>
          <w:sz w:val="19"/>
        </w:rPr>
        <w:t xml:space="preserve"> — MSP</w:t>
      </w:r>
    </w:p>
    <w:p>
      <w:pPr>
        <w:spacing w:after="100"/>
      </w:pPr>
      <w:r>
        <w:rPr>
          <w:b/>
          <w:sz w:val="19"/>
        </w:rPr>
        <w:t>Audit workbench</w:t>
      </w:r>
      <w:r>
        <w:rPr>
          <w:sz w:val="19"/>
        </w:rPr>
        <w:t xml:space="preserve"> — MSP</w:t>
      </w:r>
    </w:p>
    <w:p>
      <w:pPr>
        <w:spacing w:after="100"/>
      </w:pPr>
      <w:r>
        <w:rPr>
          <w:b/>
          <w:sz w:val="19"/>
        </w:rPr>
        <w:t>Framework-specific workflows</w:t>
      </w:r>
      <w:r>
        <w:rPr>
          <w:sz w:val="19"/>
        </w:rPr>
        <w:t xml:space="preserve"> — MSP</w:t>
      </w:r>
    </w:p>
    <w:p>
      <w:pPr>
        <w:spacing w:after="100"/>
      </w:pPr>
      <w:r>
        <w:rPr>
          <w:b/>
          <w:sz w:val="19"/>
        </w:rPr>
        <w:t>Incident response workflow</w:t>
      </w:r>
      <w:r>
        <w:rPr>
          <w:sz w:val="19"/>
        </w:rPr>
        <w:t xml:space="preserve"> — MSP</w:t>
      </w:r>
    </w:p>
    <w:p>
      <w:pPr>
        <w:spacing w:after="100"/>
      </w:pPr>
      <w:r>
        <w:rPr>
          <w:b/>
          <w:sz w:val="19"/>
        </w:rPr>
        <w:t>Framework pack reference</w:t>
      </w:r>
      <w:r>
        <w:rPr>
          <w:sz w:val="19"/>
        </w:rPr>
        <w:t xml:space="preserve"> — MSP</w:t>
      </w:r>
    </w:p>
    <w:p>
      <w:pPr>
        <w:spacing w:after="100"/>
      </w:pPr>
      <w:r>
        <w:rPr>
          <w:b/>
          <w:sz w:val="19"/>
        </w:rPr>
        <w:t>Audit modules and applicability</w:t>
      </w:r>
      <w:r>
        <w:rPr>
          <w:sz w:val="19"/>
        </w:rPr>
        <w:t xml:space="preserve"> — MSP</w:t>
      </w:r>
    </w:p>
    <w:p>
      <w:pPr>
        <w:spacing w:after="100"/>
      </w:pPr>
      <w:r>
        <w:rPr>
          <w:b/>
          <w:sz w:val="19"/>
        </w:rPr>
        <w:t>Audit intelligence workspace</w:t>
      </w:r>
      <w:r>
        <w:rPr>
          <w:sz w:val="19"/>
        </w:rPr>
        <w:t xml:space="preserve"> — MSP</w:t>
      </w:r>
    </w:p>
    <w:p>
      <w:pPr>
        <w:spacing w:after="100"/>
      </w:pPr>
      <w:r>
        <w:rPr>
          <w:b/>
          <w:sz w:val="19"/>
        </w:rPr>
        <w:t>Continuous assurance reference</w:t>
      </w:r>
      <w:r>
        <w:rPr>
          <w:sz w:val="19"/>
        </w:rPr>
        <w:t xml:space="preserve"> — MSP</w:t>
      </w:r>
    </w:p>
    <w:p>
      <w:pPr>
        <w:spacing w:after="100"/>
      </w:pPr>
      <w:r>
        <w:rPr>
          <w:b/>
          <w:sz w:val="19"/>
        </w:rPr>
        <w:t>Product glossary</w:t>
      </w:r>
      <w:r>
        <w:rPr>
          <w:sz w:val="19"/>
        </w:rPr>
        <w:t xml:space="preserve"> — All editions</w:t>
      </w:r>
    </w:p>
    <w:p>
      <w:pPr>
        <w:spacing w:after="100"/>
      </w:pPr>
      <w:r>
        <w:rPr>
          <w:b/>
          <w:sz w:val="19"/>
        </w:rPr>
        <w:t>Professional 4.1.0 installation and operation</w:t>
      </w:r>
      <w:r>
        <w:rPr>
          <w:sz w:val="19"/>
        </w:rPr>
        <w:t xml:space="preserve"> — Professional</w:t>
      </w:r>
    </w:p>
    <w:p>
      <w:pPr>
        <w:spacing w:after="100"/>
      </w:pPr>
      <w:r>
        <w:rPr>
          <w:b/>
          <w:sz w:val="19"/>
        </w:rPr>
        <w:t>Free 4.1.0 installation and operation</w:t>
      </w:r>
      <w:r>
        <w:rPr>
          <w:sz w:val="19"/>
        </w:rPr>
        <w:t xml:space="preserve"> — Free</w:t>
      </w:r>
    </w:p>
    <w:p>
      <w:pPr>
        <w:spacing w:after="100"/>
      </w:pPr>
      <w:r>
        <w:rPr>
          <w:b/>
          <w:sz w:val="19"/>
        </w:rPr>
        <w:t>Installer downloads and activation</w:t>
      </w:r>
      <w:r>
        <w:rPr>
          <w:sz w:val="19"/>
        </w:rPr>
        <w:t xml:space="preserve"> — All editions</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IT Audit Factory • 4.1.0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IT AUDIT FACTORY  |  PRODUCT GUIDE 4.1.0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9334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9334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9334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Audit Factory Product Documentation 4.1.0</dc:title>
  <dc:subject>Current product access and operating guide</dc:subject>
  <dc:creator>IT Audit Factory</dc:creator>
  <cp:keywords/>
  <dc:description>generated by python-docx</dc:description>
  <cp:lastModifiedBy/>
  <cp:revision>1</cp:revision>
  <dcterms:created xsi:type="dcterms:W3CDTF">2013-12-23T23:15:00Z</dcterms:created>
  <dcterms:modified xsi:type="dcterms:W3CDTF">2013-12-23T23:15:00Z</dcterms:modified>
  <cp:category/>
</cp:coreProperties>
</file>